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C96DD" w14:textId="7B19110B" w:rsidR="008D1C62" w:rsidRDefault="00110172">
      <w:r>
        <w:rPr>
          <w:rFonts w:ascii="Roboto" w:hAnsi="Roboto"/>
          <w:noProof/>
          <w:sz w:val="24"/>
          <w:szCs w:val="24"/>
        </w:rPr>
        <w:drawing>
          <wp:inline distT="0" distB="0" distL="0" distR="0" wp14:anchorId="7EEA466F" wp14:editId="2B928761">
            <wp:extent cx="2076450" cy="2238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1C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172"/>
    <w:rsid w:val="00110172"/>
    <w:rsid w:val="00125BC8"/>
    <w:rsid w:val="008D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F9F83"/>
  <w15:chartTrackingRefBased/>
  <w15:docId w15:val="{CE7AF892-31C6-4D28-B036-C86846D76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197fb2680c62bede832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4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Lawson</dc:creator>
  <cp:keywords/>
  <dc:description/>
  <cp:lastModifiedBy>Finance, Larchfield</cp:lastModifiedBy>
  <cp:revision>2</cp:revision>
  <dcterms:created xsi:type="dcterms:W3CDTF">2026-02-02T09:13:00Z</dcterms:created>
  <dcterms:modified xsi:type="dcterms:W3CDTF">2026-02-02T09:13:00Z</dcterms:modified>
</cp:coreProperties>
</file>